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line="252.00000000000003" w:lineRule="auto"/>
        <w:rPr>
          <w:color w:val="000000"/>
        </w:rPr>
      </w:pPr>
      <w:r w:rsidDel="00000000" w:rsidR="00000000" w:rsidRPr="00000000">
        <w:rPr>
          <w:color w:val="000000"/>
          <w:sz w:val="22"/>
          <w:szCs w:val="22"/>
          <w:rtl w:val="0"/>
        </w:rPr>
        <w:t xml:space="preserve">ROSAC0248ZPB</w:t>
      </w:r>
      <w:r w:rsidDel="00000000" w:rsidR="00000000" w:rsidRPr="00000000">
        <w:rPr>
          <w:rtl w:val="0"/>
        </w:rPr>
      </w:r>
    </w:p>
    <w:p w:rsidR="00000000" w:rsidDel="00000000" w:rsidP="00000000" w:rsidRDefault="00000000" w:rsidRPr="00000000" w14:paraId="00000005">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6">
      <w:pPr>
        <w:rPr>
          <w:b w:val="1"/>
          <w:bCs w:val="1"/>
          <w:sz w:val="22"/>
          <w:szCs w:val="22"/>
        </w:rPr>
      </w:pPr>
      <w:bookmarkStart w:colFirst="0" w:colLast="0" w:name="_heading=h.pi0jzwnlbfz5"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line="252.00000000000003" w:lineRule="auto"/>
        <w:rPr>
          <w:color w:val="000000"/>
        </w:rPr>
      </w:pPr>
      <w:r w:rsidDel="00000000" w:rsidR="00000000" w:rsidRPr="00000000">
        <w:rPr>
          <w:color w:val="000000"/>
          <w:sz w:val="22"/>
          <w:szCs w:val="22"/>
          <w:rtl w:val="0"/>
        </w:rPr>
        <w:t xml:space="preserve">Tinovul Mohoș - Lacul Sf. Ana</w:t>
      </w:r>
      <w:r w:rsidDel="00000000" w:rsidR="00000000" w:rsidRPr="00000000">
        <w:rPr>
          <w:rtl w:val="0"/>
        </w:rPr>
      </w:r>
    </w:p>
    <w:p w:rsidR="00000000" w:rsidDel="00000000" w:rsidP="00000000" w:rsidRDefault="00000000" w:rsidRPr="00000000" w14:paraId="00000008">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A">
      <w:pPr>
        <w:rPr/>
      </w:pPr>
      <w:sdt>
        <w:sdtPr>
          <w:id w:val="737982983"/>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1414093468"/>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sz w:val="22"/>
          <w:szCs w:val="22"/>
        </w:rPr>
      </w:pPr>
      <w:bookmarkStart w:colFirst="0" w:colLast="0" w:name="_heading=h.hux3c9x9mxz4" w:id="1"/>
      <w:bookmarkEnd w:id="1"/>
      <w:sdt>
        <w:sdtPr>
          <w:id w:val="-1236584277"/>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D">
      <w:pPr>
        <w:spacing w:after="0" w:lineRule="auto"/>
        <w:rPr/>
      </w:pPr>
      <w:r w:rsidDel="00000000" w:rsidR="00000000" w:rsidRPr="00000000">
        <w:rPr>
          <w:rtl w:val="0"/>
        </w:rPr>
      </w:r>
    </w:p>
    <w:tbl>
      <w:tblPr>
        <w:tblStyle w:val="Table1"/>
        <w:tblW w:w="8979.0" w:type="dxa"/>
        <w:jc w:val="left"/>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1">
                  <w:pPr>
                    <w:spacing w:line="276" w:lineRule="auto"/>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spacing w:line="276" w:lineRule="auto"/>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spacing w:line="276" w:lineRule="auto"/>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spacing w:line="276" w:lineRule="auto"/>
                    <w:jc w:val="center"/>
                    <w:rPr>
                      <w:sz w:val="22"/>
                      <w:szCs w:val="22"/>
                    </w:rPr>
                  </w:pPr>
                  <w:r w:rsidDel="00000000" w:rsidR="00000000" w:rsidRPr="00000000">
                    <w:rPr>
                      <w:sz w:val="22"/>
                      <w:szCs w:val="22"/>
                      <w:rtl w:val="0"/>
                    </w:rPr>
                    <w:t xml:space="preserve">5</w:t>
                  </w:r>
                </w:p>
              </w:tc>
              <w:tc>
                <w:tcPr/>
                <w:p w:rsidR="00000000" w:rsidDel="00000000" w:rsidP="00000000" w:rsidRDefault="00000000" w:rsidRPr="00000000" w14:paraId="00000015">
                  <w:pPr>
                    <w:spacing w:line="276"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spacing w:line="276" w:lineRule="auto"/>
                    <w:jc w:val="center"/>
                    <w:rPr>
                      <w:sz w:val="22"/>
                      <w:szCs w:val="22"/>
                    </w:rPr>
                  </w:pPr>
                  <w:r w:rsidDel="00000000" w:rsidR="00000000" w:rsidRPr="00000000">
                    <w:rPr>
                      <w:sz w:val="22"/>
                      <w:szCs w:val="22"/>
                      <w:rtl w:val="0"/>
                    </w:rPr>
                    <w:t xml:space="preserve">7</w:t>
                  </w:r>
                </w:p>
              </w:tc>
            </w:tr>
            <w:tr>
              <w:trPr>
                <w:cantSplit w:val="0"/>
                <w:tblHeader w:val="0"/>
              </w:trPr>
              <w:tc>
                <w:tcPr/>
                <w:p w:rsidR="00000000" w:rsidDel="00000000" w:rsidP="00000000" w:rsidRDefault="00000000" w:rsidRPr="00000000" w14:paraId="00000017">
                  <w:pPr>
                    <w:spacing w:line="276"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spacing w:line="276"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spacing w:line="276"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spacing w:line="276"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spacing w:line="276"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spacing w:line="276"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F">
                  <w:pPr>
                    <w:spacing w:line="276" w:lineRule="auto"/>
                    <w:jc w:val="center"/>
                    <w:rPr/>
                  </w:pPr>
                  <w:r w:rsidDel="00000000" w:rsidR="00000000" w:rsidRPr="00000000">
                    <w:rPr>
                      <w:rtl w:val="0"/>
                    </w:rPr>
                  </w:r>
                </w:p>
              </w:tc>
              <w:tc>
                <w:tcPr/>
                <w:p w:rsidR="00000000" w:rsidDel="00000000" w:rsidP="00000000" w:rsidRDefault="00000000" w:rsidRPr="00000000" w14:paraId="00000020">
                  <w:pPr>
                    <w:spacing w:line="276" w:lineRule="auto"/>
                    <w:jc w:val="center"/>
                    <w:rPr/>
                  </w:pPr>
                  <w:r w:rsidDel="00000000" w:rsidR="00000000" w:rsidRPr="00000000">
                    <w:rPr>
                      <w:rtl w:val="0"/>
                    </w:rPr>
                  </w:r>
                </w:p>
              </w:tc>
              <w:tc>
                <w:tcPr/>
                <w:p w:rsidR="00000000" w:rsidDel="00000000" w:rsidP="00000000" w:rsidRDefault="00000000" w:rsidRPr="00000000" w14:paraId="00000021">
                  <w:pPr>
                    <w:spacing w:line="276" w:lineRule="auto"/>
                    <w:jc w:val="center"/>
                    <w:rPr/>
                  </w:pPr>
                  <w:r w:rsidDel="00000000" w:rsidR="00000000" w:rsidRPr="00000000">
                    <w:rPr>
                      <w:rtl w:val="0"/>
                    </w:rPr>
                  </w:r>
                </w:p>
              </w:tc>
              <w:tc>
                <w:tcPr/>
                <w:p w:rsidR="00000000" w:rsidDel="00000000" w:rsidP="00000000" w:rsidRDefault="00000000" w:rsidRPr="00000000" w14:paraId="00000022">
                  <w:pPr>
                    <w:spacing w:line="276" w:lineRule="auto"/>
                    <w:jc w:val="center"/>
                    <w:rPr/>
                  </w:pPr>
                  <w:r w:rsidDel="00000000" w:rsidR="00000000" w:rsidRPr="00000000">
                    <w:rPr>
                      <w:rtl w:val="0"/>
                    </w:rPr>
                  </w:r>
                </w:p>
              </w:tc>
              <w:tc>
                <w:tcPr/>
                <w:p w:rsidR="00000000" w:rsidDel="00000000" w:rsidP="00000000" w:rsidRDefault="00000000" w:rsidRPr="00000000" w14:paraId="00000023">
                  <w:pPr>
                    <w:spacing w:line="276" w:lineRule="auto"/>
                    <w:jc w:val="center"/>
                    <w:rPr/>
                  </w:pPr>
                  <w:r w:rsidDel="00000000" w:rsidR="00000000" w:rsidRPr="00000000">
                    <w:rPr>
                      <w:rtl w:val="0"/>
                    </w:rPr>
                  </w:r>
                </w:p>
              </w:tc>
              <w:tc>
                <w:tcPr/>
                <w:p w:rsidR="00000000" w:rsidDel="00000000" w:rsidP="00000000" w:rsidRDefault="00000000" w:rsidRPr="00000000" w14:paraId="00000024">
                  <w:pPr>
                    <w:spacing w:line="276" w:lineRule="auto"/>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spacing w:line="276"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spacing w:line="276"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spacing w:line="276"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spacing w:line="276"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spacing w:line="276"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spacing w:line="276"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ro1q8asj6wh3"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2.00000000000003"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b w:val="1"/>
          <w:bCs w:val="1"/>
          <w:sz w:val="22"/>
          <w:szCs w:val="22"/>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3">
                  <w:pPr>
                    <w:spacing w:line="276"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spacing w:line="276"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spacing w:line="276"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spacing w:line="276"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spacing w:line="276"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spacing w:line="276" w:lineRule="auto"/>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spacing w:line="276"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spacing w:line="276"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spacing w:line="276"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spacing w:line="276"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spacing w:line="276"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spacing w:line="276"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line="252.00000000000003" w:lineRule="auto"/>
        <w:rPr>
          <w:color w:val="000000"/>
        </w:rPr>
      </w:pPr>
      <w:r w:rsidDel="00000000" w:rsidR="00000000" w:rsidRPr="00000000">
        <w:rPr>
          <w:color w:val="000000"/>
          <w:sz w:val="22"/>
          <w:szCs w:val="22"/>
          <w:rtl w:val="0"/>
        </w:rPr>
        <w:t xml:space="preserve"> </w:t>
      </w:r>
      <w:r w:rsidDel="00000000" w:rsidR="00000000" w:rsidRPr="00000000">
        <w:rPr>
          <w:rtl w:val="0"/>
        </w:rPr>
      </w:r>
    </w:p>
    <w:p w:rsidR="00000000" w:rsidDel="00000000" w:rsidP="00000000" w:rsidRDefault="00000000" w:rsidRPr="00000000" w14:paraId="00000043">
      <w:pPr>
        <w:spacing w:after="120" w:before="48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044">
      <w:pPr>
        <w:spacing w:after="120" w:before="48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spacing w:line="252.00000000000003" w:lineRule="auto"/>
        <w:rPr>
          <w:color w:val="000000"/>
        </w:rPr>
      </w:pPr>
      <w:r w:rsidDel="00000000" w:rsidR="00000000" w:rsidRPr="00000000">
        <w:rPr>
          <w:rtl w:val="0"/>
        </w:rPr>
        <w:t xml:space="preserve">72,95</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2.00000000000003" w:lineRule="auto"/>
        <w:rPr>
          <w:color w:val="000000"/>
        </w:rPr>
      </w:pPr>
      <w:r w:rsidDel="00000000" w:rsidR="00000000" w:rsidRPr="00000000">
        <w:rPr>
          <w:rtl w:val="0"/>
        </w:rPr>
        <w:t xml:space="preserve">16,79%</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E">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Numele regiunii</w:t>
            </w:r>
            <w:r w:rsidDel="00000000" w:rsidR="00000000" w:rsidRPr="00000000">
              <w:rPr>
                <w:rtl w:val="0"/>
              </w:rPr>
            </w:r>
          </w:p>
        </w:tc>
      </w:tr>
      <w:tr>
        <w:trPr>
          <w:cantSplit w:val="0"/>
          <w:trHeight w:val="282"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6">
      <w:pPr>
        <w:pBdr>
          <w:top w:color="000000" w:space="0" w:sz="6" w:val="single"/>
          <w:left w:color="000000" w:space="0" w:sz="6" w:val="single"/>
          <w:bottom w:color="000000" w:space="0" w:sz="6" w:val="single"/>
          <w:right w:color="000000" w:space="0" w:sz="6" w:val="single"/>
          <w:between w:space="0" w:sz="0" w:val="nil"/>
        </w:pBdr>
        <w:spacing w:line="252.00000000000003" w:lineRule="auto"/>
        <w:rPr>
          <w:color w:val="000000"/>
        </w:rPr>
      </w:pPr>
      <w:r w:rsidDel="00000000" w:rsidR="00000000" w:rsidRPr="00000000">
        <w:rPr>
          <w:color w:val="000000"/>
          <w:sz w:val="22"/>
          <w:szCs w:val="22"/>
          <w:rtl w:val="0"/>
        </w:rPr>
        <w:t xml:space="preserve">Harghita</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Layout w:type="fixed"/>
        <w:tblLook w:val="0400"/>
      </w:tblPr>
      <w:tblGrid>
        <w:gridCol w:w="2928"/>
        <w:gridCol w:w="47"/>
        <w:gridCol w:w="3002"/>
        <w:gridCol w:w="46"/>
        <w:gridCol w:w="2957"/>
        <w:tblGridChange w:id="0">
          <w:tblGrid>
            <w:gridCol w:w="2928"/>
            <w:gridCol w:w="47"/>
            <w:gridCol w:w="3002"/>
            <w:gridCol w:w="46"/>
            <w:gridCol w:w="2957"/>
          </w:tblGrid>
        </w:tblGridChange>
      </w:tblGrid>
      <w:tr>
        <w:trPr>
          <w:cantSplit w:val="0"/>
          <w:tblHeader w:val="0"/>
        </w:trPr>
        <w:tc>
          <w:tcPr/>
          <w:p w:rsidR="00000000" w:rsidDel="00000000" w:rsidP="00000000" w:rsidRDefault="00000000" w:rsidRPr="00000000" w14:paraId="00000059">
            <w:pPr>
              <w:rPr/>
            </w:pPr>
            <w:sdt>
              <w:sdtPr>
                <w:id w:val="1297612501"/>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2017658507"/>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447477488"/>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E">
            <w:pPr>
              <w:rPr/>
            </w:pPr>
            <w:sdt>
              <w:sdtPr>
                <w:id w:val="-1063518752"/>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sdt>
              <w:sdtPr>
                <w:id w:val="1995728941"/>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sdt>
              <w:sdtPr>
                <w:id w:val="312442236"/>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3">
      <w:pPr>
        <w:spacing w:after="0" w:line="300" w:lineRule="auto"/>
        <w:rPr>
          <w:sz w:val="22"/>
          <w:szCs w:val="22"/>
        </w:rPr>
      </w:pPr>
      <w:r w:rsidDel="00000000" w:rsidR="00000000" w:rsidRPr="00000000">
        <w:rPr>
          <w:rtl w:val="0"/>
        </w:rPr>
      </w:r>
    </w:p>
    <w:p w:rsidR="00000000" w:rsidDel="00000000" w:rsidP="00000000" w:rsidRDefault="00000000" w:rsidRPr="00000000" w14:paraId="00000064">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65">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67">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68">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69">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6B">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C">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rtl w:val="0"/>
        </w:rPr>
        <w:t xml:space="preserve">72,95</w:t>
      </w:r>
      <w:r w:rsidDel="00000000" w:rsidR="00000000" w:rsidRPr="00000000">
        <w:rPr>
          <w:rtl w:val="0"/>
        </w:rPr>
      </w:r>
    </w:p>
    <w:p w:rsidR="00000000" w:rsidDel="00000000" w:rsidP="00000000" w:rsidRDefault="00000000" w:rsidRPr="00000000" w14:paraId="0000006E">
      <w:pPr>
        <w:spacing w:after="0" w:line="300" w:lineRule="auto"/>
        <w:rPr>
          <w:sz w:val="22"/>
          <w:szCs w:val="22"/>
        </w:rPr>
      </w:pPr>
      <w:r w:rsidDel="00000000" w:rsidR="00000000" w:rsidRPr="00000000">
        <w:rPr>
          <w:rtl w:val="0"/>
        </w:rPr>
      </w:r>
    </w:p>
    <w:p w:rsidR="00000000" w:rsidDel="00000000" w:rsidP="00000000" w:rsidRDefault="00000000" w:rsidRPr="00000000" w14:paraId="0000006F">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70">
      <w:pPr>
        <w:pBdr>
          <w:top w:color="000000" w:space="0" w:sz="6" w:val="single"/>
          <w:left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 Legea nr. 5/2000 privind aprobarea Planului de amenajare a teritoriului național – Secțiunea a III-a – zone protejate, cu modificările și completările ulterioare: rezervațiile naturale RONPA0503 Lacul Sfânta Ana, RONPA0504 Tinovul Mohoș.</w:t>
      </w:r>
    </w:p>
    <w:p w:rsidR="00000000" w:rsidDel="00000000" w:rsidP="00000000" w:rsidRDefault="00000000" w:rsidRPr="00000000" w14:paraId="00000071">
      <w:pPr>
        <w:pBdr>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2">
      <w:pPr>
        <w:pBdr>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3">
      <w:pPr>
        <w:spacing w:after="0" w:line="300" w:lineRule="auto"/>
        <w:rPr>
          <w:sz w:val="22"/>
          <w:szCs w:val="22"/>
        </w:rPr>
      </w:pPr>
      <w:r w:rsidDel="00000000" w:rsidR="00000000" w:rsidRPr="00000000">
        <w:rPr>
          <w:rtl w:val="0"/>
        </w:rPr>
      </w:r>
    </w:p>
    <w:p w:rsidR="00000000" w:rsidDel="00000000" w:rsidP="00000000" w:rsidRDefault="00000000" w:rsidRPr="00000000" w14:paraId="00000074">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63.0" w:type="dxa"/>
        <w:jc w:val="left"/>
        <w:tblInd w:w="-97.0" w:type="dxa"/>
        <w:tblLayout w:type="fixed"/>
        <w:tblLook w:val="0400"/>
      </w:tblPr>
      <w:tblGrid>
        <w:gridCol w:w="4499"/>
        <w:gridCol w:w="4464"/>
        <w:tblGridChange w:id="0">
          <w:tblGrid>
            <w:gridCol w:w="4499"/>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276" w:lineRule="auto"/>
              <w:jc w:val="both"/>
              <w:rPr>
                <w:b w:val="1"/>
                <w:bCs w:val="1"/>
                <w:sz w:val="22"/>
                <w:szCs w:val="22"/>
              </w:rPr>
            </w:pPr>
            <w:r w:rsidDel="00000000" w:rsidR="00000000" w:rsidRPr="00000000">
              <w:rPr>
                <w:b w:val="1"/>
                <w:bCs w:val="1"/>
                <w:sz w:val="22"/>
                <w:szCs w:val="22"/>
                <w:rtl w:val="0"/>
              </w:rPr>
              <w:t xml:space="preserve">Habitate de pajiști umede seminaturale cu ierburi înalte:</w:t>
            </w:r>
          </w:p>
          <w:p w:rsidR="00000000" w:rsidDel="00000000" w:rsidP="00000000" w:rsidRDefault="00000000" w:rsidRPr="00000000" w14:paraId="00000079">
            <w:pPr>
              <w:spacing w:after="0" w:line="276" w:lineRule="auto"/>
              <w:jc w:val="both"/>
              <w:rPr>
                <w:sz w:val="22"/>
                <w:szCs w:val="22"/>
              </w:rPr>
            </w:pPr>
            <w:r w:rsidDel="00000000" w:rsidR="00000000" w:rsidRPr="00000000">
              <w:rPr>
                <w:sz w:val="22"/>
                <w:szCs w:val="22"/>
                <w:rtl w:val="0"/>
              </w:rPr>
              <w:t xml:space="preserve">6430 Comunităţi de lizieră cu ierburi înalte higrofile de la câmpie şi din etajul montan până în cel alpin </w:t>
            </w:r>
          </w:p>
          <w:p w:rsidR="00000000" w:rsidDel="00000000" w:rsidP="00000000" w:rsidRDefault="00000000" w:rsidRPr="00000000" w14:paraId="0000007A">
            <w:pPr>
              <w:spacing w:after="0" w:line="276" w:lineRule="auto"/>
              <w:jc w:val="both"/>
              <w:rPr>
                <w:b w:val="1"/>
                <w:bCs w:val="1"/>
                <w:sz w:val="22"/>
                <w:szCs w:val="22"/>
              </w:rPr>
            </w:pPr>
            <w:r w:rsidDel="00000000" w:rsidR="00000000" w:rsidRPr="00000000">
              <w:rPr>
                <w:b w:val="1"/>
                <w:bCs w:val="1"/>
                <w:sz w:val="22"/>
                <w:szCs w:val="22"/>
                <w:rtl w:val="0"/>
              </w:rPr>
              <w:t xml:space="preserve">Habitate de pajiști mezofile:</w:t>
            </w:r>
          </w:p>
          <w:p w:rsidR="00000000" w:rsidDel="00000000" w:rsidP="00000000" w:rsidRDefault="00000000" w:rsidRPr="00000000" w14:paraId="0000007B">
            <w:pPr>
              <w:spacing w:after="0" w:line="276" w:lineRule="auto"/>
              <w:jc w:val="both"/>
              <w:rPr>
                <w:sz w:val="22"/>
                <w:szCs w:val="22"/>
              </w:rPr>
            </w:pPr>
            <w:r w:rsidDel="00000000" w:rsidR="00000000" w:rsidRPr="00000000">
              <w:rPr>
                <w:sz w:val="22"/>
                <w:szCs w:val="22"/>
                <w:rtl w:val="0"/>
              </w:rPr>
              <w:t xml:space="preserve">6520 Fâneţe montane</w:t>
            </w:r>
          </w:p>
          <w:p w:rsidR="00000000" w:rsidDel="00000000" w:rsidP="00000000" w:rsidRDefault="00000000" w:rsidRPr="00000000" w14:paraId="0000007C">
            <w:pPr>
              <w:spacing w:after="0" w:line="300" w:lineRule="auto"/>
              <w:jc w:val="both"/>
              <w:rPr>
                <w:b w:val="1"/>
                <w:bCs w:val="1"/>
                <w:sz w:val="22"/>
                <w:szCs w:val="22"/>
              </w:rPr>
            </w:pPr>
            <w:r w:rsidDel="00000000" w:rsidR="00000000" w:rsidRPr="00000000">
              <w:rPr>
                <w:b w:val="1"/>
                <w:bCs w:val="1"/>
                <w:sz w:val="22"/>
                <w:szCs w:val="22"/>
                <w:rtl w:val="0"/>
              </w:rPr>
              <w:t xml:space="preserve">Habitate de turbării acide cu </w:t>
            </w:r>
            <w:r w:rsidDel="00000000" w:rsidR="00000000" w:rsidRPr="00000000">
              <w:rPr>
                <w:b w:val="1"/>
                <w:bCs w:val="1"/>
                <w:i w:val="1"/>
                <w:iCs w:val="1"/>
                <w:sz w:val="22"/>
                <w:szCs w:val="22"/>
                <w:rtl w:val="0"/>
              </w:rPr>
              <w:t xml:space="preserve">Sphagnum</w:t>
            </w:r>
            <w:r w:rsidDel="00000000" w:rsidR="00000000" w:rsidRPr="00000000">
              <w:rPr>
                <w:b w:val="1"/>
                <w:bCs w:val="1"/>
                <w:sz w:val="22"/>
                <w:szCs w:val="22"/>
                <w:rtl w:val="0"/>
              </w:rPr>
              <w:t xml:space="preserve">:</w:t>
            </w:r>
          </w:p>
          <w:p w:rsidR="00000000" w:rsidDel="00000000" w:rsidP="00000000" w:rsidRDefault="00000000" w:rsidRPr="00000000" w14:paraId="0000007D">
            <w:pPr>
              <w:spacing w:after="0" w:line="300" w:lineRule="auto"/>
              <w:jc w:val="both"/>
              <w:rPr>
                <w:sz w:val="22"/>
                <w:szCs w:val="22"/>
              </w:rPr>
            </w:pPr>
            <w:r w:rsidDel="00000000" w:rsidR="00000000" w:rsidRPr="00000000">
              <w:rPr>
                <w:sz w:val="22"/>
                <w:szCs w:val="22"/>
                <w:rtl w:val="0"/>
              </w:rPr>
              <w:t xml:space="preserve">7110* Tinoave  active </w:t>
            </w:r>
          </w:p>
          <w:p w:rsidR="00000000" w:rsidDel="00000000" w:rsidP="00000000" w:rsidRDefault="00000000" w:rsidRPr="00000000" w14:paraId="0000007E">
            <w:pPr>
              <w:spacing w:after="0" w:line="300" w:lineRule="auto"/>
              <w:jc w:val="both"/>
              <w:rPr>
                <w:sz w:val="22"/>
                <w:szCs w:val="22"/>
              </w:rPr>
            </w:pPr>
            <w:r w:rsidDel="00000000" w:rsidR="00000000" w:rsidRPr="00000000">
              <w:rPr>
                <w:sz w:val="22"/>
                <w:szCs w:val="22"/>
                <w:rtl w:val="0"/>
              </w:rPr>
              <w:t xml:space="preserve">7140 Mlaştini turboase de tranziţie şi turbării oscilante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30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1">
            <w:pPr>
              <w:spacing w:after="0" w:line="300" w:lineRule="auto"/>
              <w:rPr>
                <w:i w:val="1"/>
                <w:iCs w:val="1"/>
                <w:sz w:val="22"/>
                <w:szCs w:val="22"/>
              </w:rPr>
            </w:pPr>
            <w:r w:rsidDel="00000000" w:rsidR="00000000" w:rsidRPr="00000000">
              <w:rPr>
                <w:i w:val="1"/>
                <w:iCs w:val="1"/>
                <w:sz w:val="22"/>
                <w:szCs w:val="22"/>
                <w:rtl w:val="0"/>
              </w:rPr>
              <w:t xml:space="preserve">1758 Ligularia sibirica</w:t>
            </w:r>
          </w:p>
          <w:p w:rsidR="00000000" w:rsidDel="00000000" w:rsidP="00000000" w:rsidRDefault="00000000" w:rsidRPr="00000000" w14:paraId="00000082">
            <w:pP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3">
            <w:pPr>
              <w:spacing w:after="0" w:line="30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4">
            <w:pPr>
              <w:spacing w:after="0" w:line="300" w:lineRule="auto"/>
              <w:rPr>
                <w:i w:val="1"/>
                <w:iCs w:val="1"/>
                <w:sz w:val="22"/>
                <w:szCs w:val="22"/>
              </w:rPr>
            </w:pPr>
            <w:r w:rsidDel="00000000" w:rsidR="00000000" w:rsidRPr="00000000">
              <w:rPr>
                <w:i w:val="1"/>
                <w:iCs w:val="1"/>
                <w:sz w:val="22"/>
                <w:szCs w:val="22"/>
                <w:rtl w:val="0"/>
              </w:rPr>
              <w:t xml:space="preserve">2001 Triturus montandoni</w:t>
            </w:r>
          </w:p>
          <w:p w:rsidR="00000000" w:rsidDel="00000000" w:rsidP="00000000" w:rsidRDefault="00000000" w:rsidRPr="00000000" w14:paraId="00000085">
            <w:pPr>
              <w:spacing w:after="0" w:line="300" w:lineRule="auto"/>
              <w:rPr>
                <w:i w:val="1"/>
                <w:iCs w:val="1"/>
                <w:sz w:val="22"/>
                <w:szCs w:val="22"/>
              </w:rPr>
            </w:pPr>
            <w:r w:rsidDel="00000000" w:rsidR="00000000" w:rsidRPr="00000000">
              <w:rPr>
                <w:i w:val="1"/>
                <w:iCs w:val="1"/>
                <w:sz w:val="22"/>
                <w:szCs w:val="22"/>
                <w:rtl w:val="0"/>
              </w:rPr>
              <w:t xml:space="preserve">1166 Triturus cristatus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88">
            <w:pPr>
              <w:jc w:val="both"/>
              <w:rPr/>
            </w:pPr>
            <w:r w:rsidDel="00000000" w:rsidR="00000000" w:rsidRPr="00000000">
              <w:rPr>
                <w:sz w:val="22"/>
                <w:szCs w:val="22"/>
                <w:rtl w:val="0"/>
              </w:rPr>
              <w:t xml:space="preserve">Zona include habitate umede cu valoare conservativă ridicată, caracterizate prin condiții hidrologice favorabile și prin rolul acestora în susținerea biodiversității asociate ecosistemelor de tranziție dintre mediul terestru și cel acvatic.</w:t>
            </w:r>
            <w:r w:rsidDel="00000000" w:rsidR="00000000" w:rsidRPr="00000000">
              <w:rPr>
                <w:rtl w:val="0"/>
              </w:rPr>
            </w:r>
          </w:p>
          <w:p w:rsidR="00000000" w:rsidDel="00000000" w:rsidP="00000000" w:rsidRDefault="00000000" w:rsidRPr="00000000" w14:paraId="00000089">
            <w:pPr>
              <w:jc w:val="both"/>
              <w:rPr/>
            </w:pPr>
            <w:r w:rsidDel="00000000" w:rsidR="00000000" w:rsidRPr="00000000">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sidDel="00000000" w:rsidR="00000000" w:rsidRPr="00000000">
              <w:rPr>
                <w:rtl w:val="0"/>
              </w:rPr>
            </w:r>
          </w:p>
          <w:p w:rsidR="00000000" w:rsidDel="00000000" w:rsidP="00000000" w:rsidRDefault="00000000" w:rsidRPr="00000000" w14:paraId="0000008A">
            <w:pPr>
              <w:jc w:val="both"/>
              <w:rPr/>
            </w:pPr>
            <w:r w:rsidDel="00000000" w:rsidR="00000000" w:rsidRPr="00000000">
              <w:rPr>
                <w:sz w:val="22"/>
                <w:szCs w:val="22"/>
                <w:rtl w:val="0"/>
              </w:rPr>
              <w:t xml:space="preserve">Desemnarea ca ZPB se fundamentează pe criteriul stabilit de metodologie pentru rezervații naturale.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8F">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91">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98">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A">
            <w:pPr>
              <w:jc w:val="both"/>
              <w:rPr>
                <w:sz w:val="22"/>
                <w:szCs w:val="22"/>
              </w:rPr>
            </w:pPr>
            <w:r w:rsidDel="00000000" w:rsidR="00000000" w:rsidRPr="00000000">
              <w:rPr>
                <w:b w:val="1"/>
                <w:bCs w:val="1"/>
                <w:sz w:val="22"/>
                <w:szCs w:val="22"/>
                <w:rtl w:val="0"/>
              </w:rPr>
              <w:t xml:space="preserve">Obiective și măsuri de management activ pentru ecosistemele de turbării și mlaștini</w:t>
            </w:r>
            <w:r w:rsidDel="00000000" w:rsidR="00000000" w:rsidRPr="00000000">
              <w:rPr>
                <w:rtl w:val="0"/>
              </w:rPr>
            </w:r>
          </w:p>
          <w:p w:rsidR="00000000" w:rsidDel="00000000" w:rsidP="00000000" w:rsidRDefault="00000000" w:rsidRPr="00000000" w14:paraId="000000AB">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AD">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3. Refacerea habitatelor degradate și a vegetației specifice de turbării/mlaștini.</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B3">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BC">
      <w:pPr>
        <w:spacing w:after="80" w:before="240" w:line="300" w:lineRule="auto"/>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BD">
      <w:pPr>
        <w:pBdr>
          <w:top w:color="000000" w:space="0" w:sz="6" w:val="single"/>
          <w:left w:color="000000" w:space="0" w:sz="6" w:val="single"/>
          <w:bottom w:color="000000" w:space="0" w:sz="6" w:val="single"/>
          <w:right w:color="000000" w:space="0" w:sz="6" w:val="single"/>
        </w:pBdr>
        <w:spacing w:after="0" w:line="256" w:lineRule="auto"/>
        <w:jc w:val="both"/>
        <w:rPr>
          <w:sz w:val="22"/>
          <w:szCs w:val="22"/>
        </w:rPr>
      </w:pPr>
      <w:r w:rsidDel="00000000" w:rsidR="00000000" w:rsidRPr="00000000">
        <w:rPr>
          <w:sz w:val="22"/>
          <w:szCs w:val="22"/>
          <w:rtl w:val="0"/>
        </w:rPr>
        <w:t xml:space="preserve">Pop, E. (1955). </w:t>
      </w:r>
      <w:r w:rsidDel="00000000" w:rsidR="00000000" w:rsidRPr="00000000">
        <w:rPr>
          <w:i w:val="1"/>
          <w:iCs w:val="1"/>
          <w:sz w:val="22"/>
          <w:szCs w:val="22"/>
          <w:rtl w:val="0"/>
        </w:rPr>
        <w:t xml:space="preserve">Mlaştinile noastre de turbă şi problema ocrotirii lor.</w:t>
      </w:r>
      <w:r w:rsidDel="00000000" w:rsidR="00000000" w:rsidRPr="00000000">
        <w:rPr>
          <w:sz w:val="22"/>
          <w:szCs w:val="22"/>
          <w:rtl w:val="0"/>
        </w:rPr>
        <w:t xml:space="preserve"> Ocrotirea Naturii, 1, 57–105.</w:t>
      </w:r>
    </w:p>
    <w:p w:rsidR="00000000" w:rsidDel="00000000" w:rsidP="00000000" w:rsidRDefault="00000000" w:rsidRPr="00000000" w14:paraId="000000BE">
      <w:pPr>
        <w:pBdr>
          <w:top w:color="000000" w:space="0" w:sz="6" w:val="single"/>
          <w:left w:color="000000" w:space="0" w:sz="6" w:val="single"/>
          <w:bottom w:color="000000" w:space="0" w:sz="6" w:val="single"/>
          <w:right w:color="000000" w:space="0" w:sz="6" w:val="single"/>
        </w:pBdr>
        <w:spacing w:after="0" w:line="256" w:lineRule="auto"/>
        <w:jc w:val="both"/>
        <w:rPr>
          <w:sz w:val="22"/>
          <w:szCs w:val="22"/>
        </w:rPr>
      </w:pPr>
      <w:r w:rsidDel="00000000" w:rsidR="00000000" w:rsidRPr="00000000">
        <w:rPr>
          <w:sz w:val="22"/>
          <w:szCs w:val="22"/>
          <w:rtl w:val="0"/>
        </w:rPr>
        <w:t xml:space="preserve">Pop Em., 1956, Tinovul Mohoş de lângă Tuşnad - Băi, Ocr. nat., 2: 173-175 + o foto</w:t>
      </w:r>
    </w:p>
    <w:p w:rsidR="00000000" w:rsidDel="00000000" w:rsidP="00000000" w:rsidRDefault="00000000" w:rsidRPr="00000000" w14:paraId="000000BF">
      <w:pPr>
        <w:pBdr>
          <w:top w:color="000000" w:space="0" w:sz="6" w:val="single"/>
          <w:left w:color="000000" w:space="0" w:sz="6" w:val="single"/>
          <w:bottom w:color="000000" w:space="0" w:sz="6" w:val="single"/>
          <w:right w:color="000000" w:space="0" w:sz="6" w:val="single"/>
        </w:pBdr>
        <w:spacing w:after="0" w:line="256" w:lineRule="auto"/>
        <w:jc w:val="both"/>
        <w:rPr>
          <w:sz w:val="22"/>
          <w:szCs w:val="22"/>
        </w:rPr>
      </w:pPr>
      <w:r w:rsidDel="00000000" w:rsidR="00000000" w:rsidRPr="00000000">
        <w:rPr>
          <w:sz w:val="22"/>
          <w:szCs w:val="22"/>
          <w:rtl w:val="0"/>
        </w:rPr>
        <w:t xml:space="preserve">Mânzu, C. C., &amp; Cîșlariu, A. (2019). </w:t>
      </w:r>
      <w:r w:rsidDel="00000000" w:rsidR="00000000" w:rsidRPr="00000000">
        <w:rPr>
          <w:i w:val="1"/>
          <w:iCs w:val="1"/>
          <w:sz w:val="22"/>
          <w:szCs w:val="22"/>
          <w:rtl w:val="0"/>
        </w:rPr>
        <w:t xml:space="preserve">Ligularia sibirica (L.) Cass. in Romania – An updated chorological checklist.</w:t>
      </w:r>
      <w:r w:rsidDel="00000000" w:rsidR="00000000" w:rsidRPr="00000000">
        <w:rPr>
          <w:sz w:val="22"/>
          <w:szCs w:val="22"/>
          <w:rtl w:val="0"/>
        </w:rPr>
        <w:t xml:space="preserve"> Analele Ştiinţifice ale Universităţii „Al. I. Cuza” Iaşi, s. II a. Biologie vegetală, 65, 13–43.</w:t>
      </w:r>
    </w:p>
    <w:p w:rsidR="00000000" w:rsidDel="00000000" w:rsidP="00000000" w:rsidRDefault="00000000" w:rsidRPr="00000000" w14:paraId="000000C0">
      <w:pPr>
        <w:spacing w:after="120" w:before="480" w:line="300" w:lineRule="auto"/>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C1">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0C2">
      <w:pPr>
        <w:pBdr>
          <w:top w:color="000000" w:space="0" w:sz="6" w:val="single"/>
          <w:left w:color="000000" w:space="0" w:sz="6" w:val="single"/>
          <w:bottom w:color="000000" w:space="0" w:sz="6" w:val="single"/>
          <w:right w:color="000000" w:space="0" w:sz="6" w:val="single"/>
        </w:pBdr>
        <w:spacing w:after="0" w:line="256" w:lineRule="auto"/>
        <w:jc w:val="both"/>
        <w:rPr>
          <w:sz w:val="22"/>
          <w:szCs w:val="22"/>
        </w:rPr>
      </w:pPr>
      <w:r w:rsidDel="00000000" w:rsidR="00000000" w:rsidRPr="00000000">
        <w:rPr>
          <w:sz w:val="22"/>
          <w:szCs w:val="22"/>
          <w:rtl w:val="0"/>
        </w:rPr>
        <w:t xml:space="preserve">Consultările publice au fost realizate la: 18 iunie 2025 – online, jud. Harghita.</w:t>
      </w:r>
    </w:p>
    <w:p w:rsidR="00000000" w:rsidDel="00000000" w:rsidP="00000000" w:rsidRDefault="00000000" w:rsidRPr="00000000" w14:paraId="000000C3">
      <w:pPr>
        <w:pBdr>
          <w:top w:color="000000" w:space="0" w:sz="6" w:val="single"/>
          <w:left w:color="000000" w:space="0" w:sz="6" w:val="single"/>
          <w:bottom w:color="000000" w:space="0" w:sz="6" w:val="single"/>
          <w:right w:color="000000" w:space="0" w:sz="6" w:val="single"/>
        </w:pBdr>
        <w:spacing w:after="0" w:line="256"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 19 ianuarie 2026 cu participarea factorilor interesați relevanți județului Harghita. De asemenea au avut loc consultări fizice cu participarea factorilor interesați relevanți dup cum urmează: În zilele 26-27 martie 2026 au avut loc consultări la prefectura Harghita.</w:t>
      </w:r>
    </w:p>
    <w:p w:rsidR="00000000" w:rsidDel="00000000" w:rsidP="00000000" w:rsidRDefault="00000000" w:rsidRPr="00000000" w14:paraId="000000C4">
      <w:pPr>
        <w:spacing w:after="120" w:before="48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C5">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6">
      <w:pPr>
        <w:spacing w:after="0" w:line="30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C7">
      <w:pPr>
        <w:spacing w:after="0" w:line="300" w:lineRule="auto"/>
        <w:rPr>
          <w:sz w:val="22"/>
          <w:szCs w:val="22"/>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pPr>
      <w:spacing w:line="278.00000000000006" w:lineRule="auto"/>
    </w:pPr>
    <w:tblPr>
      <w:tblStyleRowBandSize w:val="1"/>
      <w:tblStyleColBandSize w:val="1"/>
      <w:tblCellMar>
        <w:top w:w="50.0" w:type="dxa"/>
        <w:left w:w="50.0" w:type="dxa"/>
        <w:bottom w:w="50.0" w:type="dxa"/>
        <w:right w:w="50.0" w:type="dxa"/>
      </w:tblCellMar>
    </w:tblPr>
  </w:style>
  <w:style w:type="table" w:styleId="Table3">
    <w:basedOn w:val="TableNormal"/>
    <w:pPr>
      <w:spacing w:line="278.00000000000006" w:lineRule="auto"/>
    </w:p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pPr>
      <w:spacing w:line="278.00000000000006" w:lineRule="auto"/>
    </w:p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pDCz515PLF/ma4TGg9L4IRc9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Gkwanp3bmxiZno1Mg5oLmh1eDNjOXg5bXh6NDIOaC5ybzFxOGFzajZ3aDM4AHIhMU5UemppRzBJY2t5d1NxRmNYUHd5d1pndmkzQlMwSE1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